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Задолженность по зарплате в Украине превысила 3,2 млрд. гривен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2021-04-02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По данным Госстата Украины </w:t>
      </w:r>
      <w:r>
        <w:rPr>
          <w:b/>
        </w:rPr>
        <w:t>общая задолженность по выплате заработной платы</w:t>
      </w:r>
      <w:r>
        <w:t xml:space="preserve"> в Украине в феврале 2021 года выросла на 8,1% и к 1 марта </w:t>
      </w:r>
      <w:r>
        <w:rPr>
          <w:b/>
        </w:rPr>
        <w:t>составила 3,214 млрд. грн.</w:t>
      </w:r>
      <w:r/>
    </w:p>
    <w:p>
      <w:r>
        <w:t>В отраслевом разрезе задолженность по выплате зарплаты выросла в следующих сферах:</w:t>
      </w:r>
    </w:p>
    <w:p>
      <w:pPr>
        <w:pStyle w:val="ListBullet"/>
        <w:numPr>
          <w:numId w:val="10"/>
        </w:numPr>
      </w:pPr>
      <w:r>
        <w:t>искусство, спорт, развлечения и отдых – на 76,5% (до 2,93 млн. грн.);</w:t>
      </w:r>
    </w:p>
    <w:p>
      <w:pPr>
        <w:pStyle w:val="ListBullet"/>
      </w:pPr>
      <w:r>
        <w:t>госуправление, оборона и соцстрахование – на 69,5% (до 13,3 млн. грн.);</w:t>
      </w:r>
    </w:p>
    <w:p>
      <w:pPr>
        <w:pStyle w:val="ListBullet"/>
      </w:pPr>
      <w:r>
        <w:t>информация и телекоммуникация – на 27,6% (до 13,48 млн. грн.);</w:t>
      </w:r>
    </w:p>
    <w:p>
      <w:pPr>
        <w:pStyle w:val="ListBullet"/>
      </w:pPr>
      <w:r>
        <w:t>здравоохранение – на 15,5% (до 61,33 млн. грн.);</w:t>
      </w:r>
    </w:p>
    <w:p>
      <w:pPr>
        <w:pStyle w:val="ListBullet"/>
      </w:pPr>
      <w:r>
        <w:t>на предприятиях промышленности – на 9,7% (до 2,44 млрд. грн.);</w:t>
      </w:r>
    </w:p>
    <w:p>
      <w:pPr>
        <w:pStyle w:val="ListBullet"/>
      </w:pPr>
      <w:r>
        <w:t>на предприятиях транспорта, складского хозяйства и курьерской деятельности – на 8,6% (до 169,86 млн. грн.);</w:t>
      </w:r>
    </w:p>
    <w:p>
      <w:pPr>
        <w:pStyle w:val="ListBullet"/>
      </w:pPr>
      <w:r>
        <w:t>в сельском и лесном хозяйстве – на 7,4% (до 63,77 млн. грн.);</w:t>
      </w:r>
    </w:p>
    <w:p>
      <w:pPr>
        <w:pStyle w:val="ListBullet"/>
      </w:pPr>
      <w:r>
        <w:t>в строительстве – на 4,6% (до 80,04 млн. грн.);</w:t>
      </w:r>
    </w:p>
    <w:p>
      <w:pPr>
        <w:pStyle w:val="ListBullet"/>
      </w:pPr>
      <w:r>
        <w:t>на предприятиях оптовой и розничной торговли – на 4,2% (до 34,57 млн. грн.);</w:t>
      </w:r>
    </w:p>
    <w:p>
      <w:pPr>
        <w:pStyle w:val="ListBullet"/>
      </w:pPr>
      <w:r>
        <w:t>в сфере административного и вспомогательного обслуживания – на 2,9% (до 15,14 млн. грн.);</w:t>
      </w:r>
    </w:p>
    <w:p>
      <w:pPr>
        <w:pStyle w:val="ListBullet"/>
      </w:pPr>
      <w:r>
        <w:t>в образовании – на 2,1% (до 16,42 млн. грн.).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Источники:</w:t>
      </w:r>
    </w:p>
    <w:p>
      <w:pPr>
        <w:pStyle w:val="ListNumber"/>
        <w:numPr>
          <w:numId w:val="11"/>
        </w:numPr>
      </w:pPr>
      <w:hyperlink r:id="rId11">
        <w:r>
          <w:rPr>
            <w:color w:val="0000FF"/>
            <w:u w:val="single"/>
          </w:rPr>
          <w:t>http://www.ukrstat.gov.ua/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  <w:num w:numId="11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stage.politsturm.com/zadolzhennost-po-zarplate-v-ukraine-prevysila-32-mlrd-griven" TargetMode="External"/><Relationship Id="rId11" Type="http://schemas.openxmlformats.org/officeDocument/2006/relationships/hyperlink" Target="http://www.ukrstat.gov.u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